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36885" w:rsidRDefault="00636885">
      <w:pPr>
        <w:spacing w:before="100"/>
        <w:jc w:val="both"/>
        <w:rPr>
          <w:rFonts w:ascii="Proxima Nova" w:eastAsia="Proxima Nova" w:hAnsi="Proxima Nova" w:cs="Proxima Nova"/>
          <w:b/>
          <w:bCs/>
        </w:rPr>
      </w:pPr>
    </w:p>
    <w:p w:rsidR="00636885" w:rsidRDefault="00000000">
      <w:pPr>
        <w:jc w:val="both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  <w:smallCaps/>
          <w:color w:val="2E86C1"/>
          <w:sz w:val="22"/>
          <w:szCs w:val="22"/>
        </w:rPr>
        <w:t>OFERTA SZKOLENIOWA</w:t>
      </w:r>
    </w:p>
    <w:p w:rsidR="00636885" w:rsidRDefault="00636885">
      <w:pPr>
        <w:spacing w:before="100"/>
        <w:jc w:val="both"/>
        <w:rPr>
          <w:rFonts w:ascii="Proxima Nova" w:eastAsia="Proxima Nova" w:hAnsi="Proxima Nova" w:cs="Proxima Nova"/>
          <w:b/>
          <w:bCs/>
        </w:rPr>
      </w:pPr>
    </w:p>
    <w:p w:rsidR="00636885" w:rsidRDefault="00000000">
      <w:pPr>
        <w:spacing w:after="60"/>
        <w:jc w:val="both"/>
        <w:rPr>
          <w:rFonts w:ascii="Proxima Nova" w:eastAsia="Proxima Nova" w:hAnsi="Proxima Nova" w:cs="Proxima Nova"/>
          <w:b/>
          <w:bCs/>
          <w:sz w:val="19"/>
          <w:szCs w:val="19"/>
        </w:rPr>
      </w:pPr>
      <w:r>
        <w:rPr>
          <w:rFonts w:ascii="Proxima Nova" w:eastAsia="Proxima Nova" w:hAnsi="Proxima Nova" w:cs="Proxima Nova"/>
          <w:b/>
          <w:bCs/>
          <w:color w:val="1B4F72"/>
          <w:sz w:val="46"/>
          <w:szCs w:val="46"/>
        </w:rPr>
        <w:t>Sztuczna inteligencja Twojej w organizacji:</w:t>
      </w:r>
    </w:p>
    <w:p w:rsidR="00636885" w:rsidRDefault="00000000">
      <w:pPr>
        <w:spacing w:after="120"/>
        <w:jc w:val="both"/>
        <w:rPr>
          <w:rFonts w:ascii="Proxima Nova" w:eastAsia="Proxima Nova" w:hAnsi="Proxima Nova" w:cs="Proxima Nova"/>
          <w:b/>
          <w:bCs/>
          <w:sz w:val="17"/>
          <w:szCs w:val="17"/>
        </w:rPr>
      </w:pPr>
      <w:r>
        <w:rPr>
          <w:rFonts w:ascii="Proxima Nova" w:eastAsia="Proxima Nova" w:hAnsi="Proxima Nova" w:cs="Proxima Nova"/>
          <w:b/>
          <w:bCs/>
          <w:color w:val="2E86C1"/>
          <w:sz w:val="44"/>
          <w:szCs w:val="44"/>
        </w:rPr>
        <w:t>od zrozumienia, przez praktykę, do prawa</w:t>
      </w:r>
    </w:p>
    <w:p w:rsidR="00636885" w:rsidRDefault="00636885">
      <w:pPr>
        <w:pBdr>
          <w:top w:val="single" w:sz="8" w:space="6" w:color="2E86C1"/>
        </w:pBdr>
        <w:spacing w:before="60"/>
        <w:jc w:val="both"/>
        <w:rPr>
          <w:rFonts w:ascii="Proxima Nova" w:eastAsia="Proxima Nova" w:hAnsi="Proxima Nova" w:cs="Proxima Nova"/>
        </w:rPr>
      </w:pPr>
    </w:p>
    <w:p w:rsidR="00636885" w:rsidRDefault="00000000">
      <w:pPr>
        <w:spacing w:before="200" w:after="200"/>
        <w:jc w:val="both"/>
        <w:rPr>
          <w:rFonts w:ascii="Proxima Nova" w:eastAsia="Proxima Nova" w:hAnsi="Proxima Nova" w:cs="Proxima Nova"/>
          <w:i/>
          <w:iCs/>
        </w:rPr>
      </w:pPr>
      <w:r>
        <w:rPr>
          <w:rFonts w:ascii="Proxima Nova" w:eastAsia="Proxima Nova" w:hAnsi="Proxima Nova" w:cs="Proxima Nova"/>
          <w:i/>
          <w:iCs/>
          <w:color w:val="1C2833"/>
          <w:sz w:val="23"/>
          <w:szCs w:val="23"/>
        </w:rPr>
        <w:t>Dwudniowe szkolenie łączące zrozumienie mechanizmów generatywnej AI, praktyczną umiejętność pracy z modelami oraz wiedzę o otoczeniu prawnym i regulacyjnym. Autorski program opracowany przez ekspertki Centrum Sztucznej Inteligencji i Modelowania Komputerowego UMCS oraz Centrum Kompetencji Europejskich UMCS.</w:t>
      </w:r>
    </w:p>
    <w:p w:rsidR="00636885" w:rsidRDefault="00000000">
      <w:pPr>
        <w:spacing w:before="360" w:after="200"/>
        <w:jc w:val="both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  <w:color w:val="1B4F72"/>
          <w:sz w:val="24"/>
          <w:szCs w:val="24"/>
        </w:rPr>
        <w:t>DLACZEGO TO SZKOLENIE?</w:t>
      </w:r>
    </w:p>
    <w:p w:rsidR="00636885" w:rsidRDefault="00000000">
      <w:pPr>
        <w:spacing w:before="80" w:after="8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color w:val="1C2833"/>
        </w:rPr>
        <w:t xml:space="preserve">Generatywna sztuczna inteligencja redefiniuje sposób funkcjonowania organizacji – zarówno sektora prywatnego, jak i publicznego. Skuteczne wykorzystanie tej technologii wymaga jednak czegoś więcej niż dostępu do narzędzi: potrzebne jest głębsze zrozumienie tego, jak działają duże modele językowe i skąd biorą się ich ograniczenia, czym różnią się dostępne na rynku rozwiązania, jak projektować interakcję z nimi, by uzyskiwać rezultaty o realnej wartości, oraz jakie ramy prawne i regulacyjne wyznaczają warunki ich wdrożenia. </w:t>
      </w:r>
    </w:p>
    <w:p w:rsidR="00636885" w:rsidRDefault="00000000">
      <w:pPr>
        <w:spacing w:before="80" w:after="8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color w:val="1C2833"/>
        </w:rPr>
        <w:t xml:space="preserve">Proponowane szkolenie integruje te trzy wymiary: zrozumienie mechanizmów generatywnej AI, praktyczną umiejętność pracy z </w:t>
      </w:r>
      <w:proofErr w:type="spellStart"/>
      <w:r>
        <w:rPr>
          <w:rFonts w:ascii="Proxima Nova" w:eastAsia="Proxima Nova" w:hAnsi="Proxima Nova" w:cs="Proxima Nova"/>
          <w:color w:val="1C2833"/>
        </w:rPr>
        <w:t>moldelami</w:t>
      </w:r>
      <w:proofErr w:type="spellEnd"/>
      <w:r>
        <w:rPr>
          <w:rFonts w:ascii="Proxima Nova" w:eastAsia="Proxima Nova" w:hAnsi="Proxima Nova" w:cs="Proxima Nova"/>
          <w:color w:val="1C2833"/>
        </w:rPr>
        <w:t xml:space="preserve"> oraz wiedzę o otoczeniu prawnym i regulacyjnym, które determinuje warunki wdrożenia. Uczestnicy kończą szkolenie z kompetencjami pozwalającymi świadomie wykorzystywać AI w swoich organizacjach, identyfikować związane z nią ryzyka i wdrażać ją w sposób strategicznie przemyślany, odpowiedzialny i zgodny z prawem.</w:t>
      </w:r>
    </w:p>
    <w:p w:rsidR="00636885" w:rsidRDefault="00000000">
      <w:pPr>
        <w:spacing w:before="360" w:after="200"/>
        <w:jc w:val="both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  <w:color w:val="1B4F72"/>
          <w:sz w:val="24"/>
          <w:szCs w:val="24"/>
        </w:rPr>
        <w:t>GRUPA DOCELOWA</w:t>
      </w:r>
    </w:p>
    <w:p w:rsidR="00636885" w:rsidRDefault="00000000">
      <w:pPr>
        <w:spacing w:before="240" w:after="240"/>
        <w:jc w:val="both"/>
        <w:rPr>
          <w:rFonts w:ascii="Proxima Nova" w:eastAsia="Proxima Nova" w:hAnsi="Proxima Nova" w:cs="Proxima Nova"/>
          <w:color w:val="1C2833"/>
        </w:rPr>
      </w:pPr>
      <w:r>
        <w:rPr>
          <w:rFonts w:ascii="Proxima Nova" w:eastAsia="Proxima Nova" w:hAnsi="Proxima Nova" w:cs="Proxima Nova"/>
          <w:color w:val="1C2833"/>
        </w:rPr>
        <w:t>Szkolenie adresujemy do zespołów i organizacji, które chcą nie tylko poznać możliwości AI, ale także świadomie zarządzać związanym z nią ryzykiem:</w:t>
      </w:r>
    </w:p>
    <w:p w:rsidR="00636885" w:rsidRDefault="00000000">
      <w:pPr>
        <w:numPr>
          <w:ilvl w:val="0"/>
          <w:numId w:val="1"/>
        </w:numPr>
        <w:spacing w:before="240"/>
        <w:rPr>
          <w:rFonts w:ascii="Proxima Nova" w:eastAsia="Proxima Nova" w:hAnsi="Proxima Nova" w:cs="Proxima Nova"/>
          <w:color w:val="1C2833"/>
        </w:rPr>
      </w:pPr>
      <w:r>
        <w:rPr>
          <w:rFonts w:ascii="Proxima Nova" w:eastAsia="Proxima Nova" w:hAnsi="Proxima Nova" w:cs="Proxima Nova"/>
          <w:color w:val="1C2833"/>
        </w:rPr>
        <w:t>instytucji administracji publicznej i samorządowej,</w:t>
      </w:r>
    </w:p>
    <w:p w:rsidR="00636885" w:rsidRDefault="00000000">
      <w:pPr>
        <w:numPr>
          <w:ilvl w:val="0"/>
          <w:numId w:val="1"/>
        </w:numPr>
        <w:rPr>
          <w:rFonts w:ascii="Proxima Nova" w:eastAsia="Proxima Nova" w:hAnsi="Proxima Nova" w:cs="Proxima Nova"/>
          <w:color w:val="1C2833"/>
        </w:rPr>
      </w:pPr>
      <w:r>
        <w:rPr>
          <w:rFonts w:ascii="Proxima Nova" w:eastAsia="Proxima Nova" w:hAnsi="Proxima Nova" w:cs="Proxima Nova"/>
          <w:color w:val="1C2833"/>
        </w:rPr>
        <w:t>przedsiębiorstw i organizacji biznesowych,</w:t>
      </w:r>
    </w:p>
    <w:p w:rsidR="00636885" w:rsidRDefault="00000000">
      <w:pPr>
        <w:numPr>
          <w:ilvl w:val="0"/>
          <w:numId w:val="1"/>
        </w:numPr>
        <w:rPr>
          <w:rFonts w:ascii="Proxima Nova" w:eastAsia="Proxima Nova" w:hAnsi="Proxima Nova" w:cs="Proxima Nova"/>
          <w:color w:val="1C2833"/>
        </w:rPr>
      </w:pPr>
      <w:r>
        <w:rPr>
          <w:rFonts w:ascii="Proxima Nova" w:eastAsia="Proxima Nova" w:hAnsi="Proxima Nova" w:cs="Proxima Nova"/>
          <w:color w:val="1C2833"/>
        </w:rPr>
        <w:t>uczelni i instytucji naukowych,</w:t>
      </w:r>
    </w:p>
    <w:p w:rsidR="00636885" w:rsidRDefault="00000000">
      <w:pPr>
        <w:numPr>
          <w:ilvl w:val="0"/>
          <w:numId w:val="1"/>
        </w:numPr>
        <w:rPr>
          <w:rFonts w:ascii="Proxima Nova" w:eastAsia="Proxima Nova" w:hAnsi="Proxima Nova" w:cs="Proxima Nova"/>
          <w:color w:val="1C2833"/>
        </w:rPr>
      </w:pPr>
      <w:r>
        <w:rPr>
          <w:rFonts w:ascii="Proxima Nova" w:eastAsia="Proxima Nova" w:hAnsi="Proxima Nova" w:cs="Proxima Nova"/>
          <w:color w:val="1C2833"/>
        </w:rPr>
        <w:t>podmiotów sektora kreatywnego,</w:t>
      </w:r>
    </w:p>
    <w:p w:rsidR="00636885" w:rsidRDefault="00000000">
      <w:pPr>
        <w:numPr>
          <w:ilvl w:val="0"/>
          <w:numId w:val="1"/>
        </w:numPr>
        <w:spacing w:after="240"/>
        <w:rPr>
          <w:rFonts w:ascii="Proxima Nova" w:eastAsia="Proxima Nova" w:hAnsi="Proxima Nova" w:cs="Proxima Nova"/>
          <w:color w:val="1C2833"/>
        </w:rPr>
      </w:pPr>
      <w:r>
        <w:rPr>
          <w:rFonts w:ascii="Proxima Nova" w:eastAsia="Proxima Nova" w:hAnsi="Proxima Nova" w:cs="Proxima Nova"/>
          <w:color w:val="1C2833"/>
        </w:rPr>
        <w:t>organizacji pozarządowych.</w:t>
      </w:r>
    </w:p>
    <w:p w:rsidR="00636885" w:rsidRDefault="00000000">
      <w:pPr>
        <w:spacing w:before="80" w:after="8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color w:val="1C2833"/>
        </w:rPr>
        <w:t>Program szkolenia dostosowywany jest do specyfiki konkretnej organizacji.</w:t>
      </w:r>
    </w:p>
    <w:p w:rsidR="00636885" w:rsidRDefault="00000000">
      <w:pPr>
        <w:spacing w:before="360" w:after="200"/>
        <w:jc w:val="both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  <w:color w:val="1B4F72"/>
          <w:sz w:val="24"/>
          <w:szCs w:val="24"/>
        </w:rPr>
        <w:t>FORMAT</w:t>
      </w:r>
    </w:p>
    <w:tbl>
      <w:tblPr>
        <w:tblStyle w:val="a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6026"/>
      </w:tblGrid>
      <w:tr w:rsidR="00636885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EBF5FB"/>
            <w:tcMar>
              <w:top w:w="80" w:type="dxa"/>
              <w:left w:w="160" w:type="dxa"/>
              <w:bottom w:w="80" w:type="dxa"/>
              <w:right w:w="120" w:type="dxa"/>
            </w:tcMar>
          </w:tcPr>
          <w:p w:rsidR="00636885" w:rsidRDefault="00000000">
            <w:p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color w:val="1B4F72"/>
              </w:rPr>
              <w:t>Wymiar</w:t>
            </w:r>
          </w:p>
        </w:tc>
        <w:tc>
          <w:tcPr>
            <w:tcW w:w="602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160" w:type="dxa"/>
              <w:bottom w:w="80" w:type="dxa"/>
              <w:right w:w="120" w:type="dxa"/>
            </w:tcMar>
          </w:tcPr>
          <w:p w:rsidR="00636885" w:rsidRDefault="00000000">
            <w:p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color w:val="1C2833"/>
              </w:rPr>
              <w:t>2 dni (2 × 8 godzin)</w:t>
            </w:r>
          </w:p>
        </w:tc>
      </w:tr>
      <w:tr w:rsidR="00636885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EBF5FB"/>
            <w:tcMar>
              <w:top w:w="80" w:type="dxa"/>
              <w:left w:w="160" w:type="dxa"/>
              <w:bottom w:w="80" w:type="dxa"/>
              <w:right w:w="120" w:type="dxa"/>
            </w:tcMar>
          </w:tcPr>
          <w:p w:rsidR="00636885" w:rsidRDefault="00000000">
            <w:p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color w:val="1B4F72"/>
              </w:rPr>
              <w:t>Forma</w:t>
            </w:r>
          </w:p>
        </w:tc>
        <w:tc>
          <w:tcPr>
            <w:tcW w:w="602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160" w:type="dxa"/>
              <w:bottom w:w="80" w:type="dxa"/>
              <w:right w:w="120" w:type="dxa"/>
            </w:tcMar>
          </w:tcPr>
          <w:p w:rsidR="00636885" w:rsidRDefault="00000000">
            <w:p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color w:val="1C2833"/>
              </w:rPr>
              <w:t xml:space="preserve">wykłady interaktywne, </w:t>
            </w:r>
            <w:r>
              <w:rPr>
                <w:rFonts w:ascii="Proxima Nova" w:eastAsia="Proxima Nova" w:hAnsi="Proxima Nova" w:cs="Proxima Nova"/>
                <w:color w:val="1C2833"/>
              </w:rPr>
              <w:br/>
              <w:t xml:space="preserve">ćwiczenia praktyczne, </w:t>
            </w:r>
            <w:r>
              <w:rPr>
                <w:rFonts w:ascii="Proxima Nova" w:eastAsia="Proxima Nova" w:hAnsi="Proxima Nova" w:cs="Proxima Nova"/>
                <w:color w:val="1C2833"/>
              </w:rPr>
              <w:br/>
              <w:t>studia przypadków</w:t>
            </w:r>
          </w:p>
        </w:tc>
      </w:tr>
      <w:tr w:rsidR="00636885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EBF5FB"/>
            <w:tcMar>
              <w:top w:w="80" w:type="dxa"/>
              <w:left w:w="160" w:type="dxa"/>
              <w:bottom w:w="80" w:type="dxa"/>
              <w:right w:w="120" w:type="dxa"/>
            </w:tcMar>
          </w:tcPr>
          <w:p w:rsidR="00636885" w:rsidRDefault="00000000">
            <w:p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color w:val="1B4F72"/>
              </w:rPr>
              <w:t>Wielkość grupy</w:t>
            </w:r>
          </w:p>
        </w:tc>
        <w:tc>
          <w:tcPr>
            <w:tcW w:w="602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160" w:type="dxa"/>
              <w:bottom w:w="80" w:type="dxa"/>
              <w:right w:w="120" w:type="dxa"/>
            </w:tcMar>
          </w:tcPr>
          <w:p w:rsidR="00636885" w:rsidRDefault="00000000">
            <w:p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color w:val="1C2833"/>
              </w:rPr>
              <w:t xml:space="preserve">do 25 osób </w:t>
            </w:r>
          </w:p>
        </w:tc>
      </w:tr>
    </w:tbl>
    <w:p w:rsidR="00636885" w:rsidRDefault="00000000">
      <w:pPr>
        <w:jc w:val="both"/>
        <w:rPr>
          <w:rFonts w:ascii="Proxima Nova" w:eastAsia="Proxima Nova" w:hAnsi="Proxima Nova" w:cs="Proxima Nova"/>
          <w:b/>
          <w:bCs/>
        </w:rPr>
      </w:pPr>
      <w:r>
        <w:br w:type="page"/>
      </w:r>
      <w:r>
        <w:rPr>
          <w:rFonts w:ascii="Proxima Nova" w:eastAsia="Proxima Nova" w:hAnsi="Proxima Nova" w:cs="Proxima Nova"/>
          <w:b/>
          <w:bCs/>
          <w:color w:val="1B4F72"/>
          <w:sz w:val="24"/>
          <w:szCs w:val="24"/>
        </w:rPr>
        <w:lastRenderedPageBreak/>
        <w:t>PROGRAM SZKOLENIA</w:t>
      </w:r>
    </w:p>
    <w:p w:rsidR="00636885" w:rsidRDefault="00000000">
      <w:pPr>
        <w:shd w:val="clear" w:color="auto" w:fill="1B4F72"/>
        <w:spacing w:before="240" w:after="60"/>
        <w:jc w:val="both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  <w:sz w:val="26"/>
          <w:szCs w:val="26"/>
        </w:rPr>
        <w:t xml:space="preserve">  </w:t>
      </w:r>
      <w:r>
        <w:rPr>
          <w:rFonts w:ascii="Proxima Nova" w:eastAsia="Proxima Nova" w:hAnsi="Proxima Nova" w:cs="Proxima Nova"/>
          <w:b/>
          <w:bCs/>
          <w:color w:val="FFFFFF"/>
          <w:sz w:val="26"/>
          <w:szCs w:val="26"/>
        </w:rPr>
        <w:t>DZIEŃ 1</w:t>
      </w:r>
    </w:p>
    <w:p w:rsidR="00636885" w:rsidRDefault="00000000">
      <w:pPr>
        <w:spacing w:before="60" w:after="200"/>
        <w:jc w:val="both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  <w:color w:val="2E86C1"/>
          <w:sz w:val="26"/>
          <w:szCs w:val="26"/>
        </w:rPr>
        <w:t>Rozumienie i praktyczne wykorzystanie AI</w:t>
      </w:r>
    </w:p>
    <w:p w:rsidR="00636885" w:rsidRDefault="00000000">
      <w:pPr>
        <w:spacing w:before="80" w:after="80"/>
        <w:jc w:val="both"/>
        <w:rPr>
          <w:rFonts w:ascii="Proxima Nova" w:eastAsia="Proxima Nova" w:hAnsi="Proxima Nova" w:cs="Proxima Nova"/>
          <w:color w:val="1C2833"/>
        </w:rPr>
      </w:pPr>
      <w:r>
        <w:rPr>
          <w:rFonts w:ascii="Proxima Nova" w:eastAsia="Proxima Nova" w:hAnsi="Proxima Nova" w:cs="Proxima Nova"/>
          <w:color w:val="1C2833"/>
        </w:rPr>
        <w:t>Pierwszy dzień szkolenia koncentruje się na budowaniu fundamentów koncepcyjnych i praktycznych. Uczestnicy poznają architekturę działania generatywnej AI, uczą się świadomie projektować interakcję z modelami językowymi oraz dobierać narzędzia adekwatne do potrzeb swojej organizacji.</w:t>
      </w:r>
    </w:p>
    <w:p w:rsidR="00636885" w:rsidRDefault="00000000">
      <w:pPr>
        <w:numPr>
          <w:ilvl w:val="0"/>
          <w:numId w:val="3"/>
        </w:numPr>
        <w:spacing w:before="80"/>
        <w:jc w:val="both"/>
        <w:rPr>
          <w:rFonts w:ascii="Proxima Nova" w:eastAsia="Proxima Nova" w:hAnsi="Proxima Nova" w:cs="Proxima Nova"/>
          <w:color w:val="1C2833"/>
          <w:sz w:val="19"/>
          <w:szCs w:val="19"/>
        </w:rPr>
      </w:pPr>
      <w:r>
        <w:rPr>
          <w:rFonts w:ascii="Proxima Nova" w:eastAsia="Proxima Nova" w:hAnsi="Proxima Nova" w:cs="Proxima Nova"/>
          <w:b/>
          <w:bCs/>
          <w:color w:val="1C2833"/>
          <w:sz w:val="19"/>
          <w:szCs w:val="19"/>
        </w:rPr>
        <w:t>Generatywna AI.</w:t>
      </w:r>
      <w:r>
        <w:rPr>
          <w:rFonts w:ascii="Proxima Nova" w:eastAsia="Proxima Nova" w:hAnsi="Proxima Nova" w:cs="Proxima Nova"/>
          <w:color w:val="1C2833"/>
          <w:sz w:val="19"/>
          <w:szCs w:val="19"/>
        </w:rPr>
        <w:t xml:space="preserve"> Działanie dużych modeli językowych i ich praktyczne wykorzystanie: tworzenie i przetwarzanie treści, analiza i synteza informacji, generowanie materiałów wizualnych i multimedialnych, automatyzacja zadań poznawczych, rozumowanie i rozwiązywanie problemów. Kierunki rozwoju technologii i realne implikacje dla organizacji.</w:t>
      </w:r>
    </w:p>
    <w:p w:rsidR="00636885" w:rsidRDefault="00000000">
      <w:pPr>
        <w:numPr>
          <w:ilvl w:val="0"/>
          <w:numId w:val="3"/>
        </w:numPr>
        <w:jc w:val="both"/>
        <w:rPr>
          <w:rFonts w:ascii="Proxima Nova" w:eastAsia="Proxima Nova" w:hAnsi="Proxima Nova" w:cs="Proxima Nova"/>
          <w:color w:val="1C2833"/>
          <w:sz w:val="19"/>
          <w:szCs w:val="19"/>
        </w:rPr>
      </w:pPr>
      <w:r>
        <w:rPr>
          <w:rFonts w:ascii="Proxima Nova" w:eastAsia="Proxima Nova" w:hAnsi="Proxima Nova" w:cs="Proxima Nova"/>
          <w:b/>
          <w:bCs/>
          <w:color w:val="1C2833"/>
          <w:sz w:val="19"/>
          <w:szCs w:val="19"/>
        </w:rPr>
        <w:t>Narzędzia AI.</w:t>
      </w:r>
      <w:r>
        <w:rPr>
          <w:rFonts w:ascii="Proxima Nova" w:eastAsia="Proxima Nova" w:hAnsi="Proxima Nova" w:cs="Proxima Nova"/>
          <w:color w:val="1C2833"/>
          <w:sz w:val="19"/>
          <w:szCs w:val="19"/>
        </w:rPr>
        <w:t xml:space="preserve"> Orientacja na rynku rozwiązań: modele ogólnego przeznaczenia i narzędzia wyspecjalizowane, asystenci i agenci AI. Budowanie własnego zestawu narzędzi dopasowanego do specyfiki branżowej i celów organizacji. </w:t>
      </w:r>
    </w:p>
    <w:p w:rsidR="00636885" w:rsidRDefault="00000000">
      <w:pPr>
        <w:numPr>
          <w:ilvl w:val="0"/>
          <w:numId w:val="3"/>
        </w:numPr>
        <w:jc w:val="both"/>
        <w:rPr>
          <w:rFonts w:ascii="Proxima Nova" w:eastAsia="Proxima Nova" w:hAnsi="Proxima Nova" w:cs="Proxima Nova"/>
          <w:color w:val="1C2833"/>
          <w:sz w:val="19"/>
          <w:szCs w:val="19"/>
        </w:rPr>
      </w:pPr>
      <w:r>
        <w:rPr>
          <w:rFonts w:ascii="Proxima Nova" w:eastAsia="Proxima Nova" w:hAnsi="Proxima Nova" w:cs="Proxima Nova"/>
          <w:b/>
          <w:bCs/>
          <w:color w:val="1C2833"/>
          <w:sz w:val="19"/>
          <w:szCs w:val="19"/>
        </w:rPr>
        <w:t>Projektowanie interakcji z modelami AI.</w:t>
      </w:r>
      <w:r>
        <w:rPr>
          <w:rFonts w:ascii="Proxima Nova" w:eastAsia="Proxima Nova" w:hAnsi="Proxima Nova" w:cs="Proxima Nova"/>
          <w:color w:val="1C2833"/>
          <w:sz w:val="19"/>
          <w:szCs w:val="19"/>
        </w:rPr>
        <w:t xml:space="preserve"> Zasady skutecznego formułowania poleceń, strategie iteracyjnego doprecyzowywania zapytań, praca z kontekstem i przykładami. Techniki zaawansowane: łańcuchy poleceń, definiowanie ról, kontrola formatu i długości odpowiedzi. Weryfikacja i korekta wyników generowanych przez AI.</w:t>
      </w:r>
    </w:p>
    <w:p w:rsidR="00636885" w:rsidRDefault="00000000">
      <w:pPr>
        <w:numPr>
          <w:ilvl w:val="0"/>
          <w:numId w:val="3"/>
        </w:numPr>
        <w:jc w:val="both"/>
        <w:rPr>
          <w:rFonts w:ascii="Proxima Nova" w:eastAsia="Proxima Nova" w:hAnsi="Proxima Nova" w:cs="Proxima Nova"/>
          <w:color w:val="1C2833"/>
          <w:sz w:val="19"/>
          <w:szCs w:val="19"/>
        </w:rPr>
      </w:pPr>
      <w:r>
        <w:rPr>
          <w:rFonts w:ascii="Proxima Nova" w:eastAsia="Proxima Nova" w:hAnsi="Proxima Nova" w:cs="Proxima Nova"/>
          <w:b/>
          <w:bCs/>
          <w:color w:val="1C2833"/>
          <w:sz w:val="19"/>
          <w:szCs w:val="19"/>
        </w:rPr>
        <w:t>Kultura organizacyjna.</w:t>
      </w:r>
      <w:r>
        <w:rPr>
          <w:rFonts w:ascii="Proxima Nova" w:eastAsia="Proxima Nova" w:hAnsi="Proxima Nova" w:cs="Proxima Nova"/>
          <w:color w:val="1C2833"/>
          <w:sz w:val="19"/>
          <w:szCs w:val="19"/>
        </w:rPr>
        <w:t xml:space="preserve"> Ustanawianie wewnętrznych zasad pracy z AI, reguł postępowania z danymi i standardów przejrzystości. Budowanie środowiska, w którym wdrażanie nowych technologii przebiega świadomie i spójnie.</w:t>
      </w:r>
    </w:p>
    <w:p w:rsidR="00636885" w:rsidRDefault="00000000">
      <w:pPr>
        <w:numPr>
          <w:ilvl w:val="0"/>
          <w:numId w:val="3"/>
        </w:numPr>
        <w:spacing w:after="80"/>
        <w:jc w:val="both"/>
        <w:rPr>
          <w:rFonts w:ascii="Proxima Nova" w:eastAsia="Proxima Nova" w:hAnsi="Proxima Nova" w:cs="Proxima Nova"/>
          <w:color w:val="1C2833"/>
          <w:sz w:val="19"/>
          <w:szCs w:val="19"/>
        </w:rPr>
      </w:pPr>
      <w:r>
        <w:rPr>
          <w:rFonts w:ascii="Proxima Nova" w:eastAsia="Proxima Nova" w:hAnsi="Proxima Nova" w:cs="Proxima Nova"/>
          <w:b/>
          <w:bCs/>
          <w:color w:val="1C2833"/>
          <w:sz w:val="19"/>
          <w:szCs w:val="19"/>
        </w:rPr>
        <w:t>Warsztat: studium przypadków.</w:t>
      </w:r>
      <w:r>
        <w:rPr>
          <w:rFonts w:ascii="Proxima Nova" w:eastAsia="Proxima Nova" w:hAnsi="Proxima Nova" w:cs="Proxima Nova"/>
          <w:color w:val="1C2833"/>
          <w:sz w:val="19"/>
          <w:szCs w:val="19"/>
        </w:rPr>
        <w:t xml:space="preserve"> Praca z AI na realnych scenariuszach wywodzących się z działalności organizacji. Identyfikacja zadań i procesów podatnych na wsparcie AI, projektowanie sposobów wykorzystania modeli w codziennej pracy, testowanie i porównywanie różnych podejść. Efektem warsztatu są gotowe, przetestowane rozwiązania możliwe do wdrożenia bezpośrednio po szkoleniu. </w:t>
      </w:r>
    </w:p>
    <w:p w:rsidR="00636885" w:rsidRDefault="00000000">
      <w:pPr>
        <w:shd w:val="clear" w:color="auto" w:fill="1B4F72"/>
        <w:spacing w:before="240" w:after="60"/>
        <w:jc w:val="both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  <w:sz w:val="26"/>
          <w:szCs w:val="26"/>
        </w:rPr>
        <w:t xml:space="preserve">  </w:t>
      </w:r>
      <w:r>
        <w:rPr>
          <w:rFonts w:ascii="Proxima Nova" w:eastAsia="Proxima Nova" w:hAnsi="Proxima Nova" w:cs="Proxima Nova"/>
          <w:b/>
          <w:bCs/>
          <w:color w:val="FFFFFF"/>
          <w:sz w:val="26"/>
          <w:szCs w:val="26"/>
        </w:rPr>
        <w:t>DZIEŃ 2</w:t>
      </w:r>
    </w:p>
    <w:p w:rsidR="00636885" w:rsidRDefault="00000000">
      <w:pPr>
        <w:spacing w:before="60" w:after="200"/>
        <w:jc w:val="both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  <w:color w:val="2E86C1"/>
          <w:sz w:val="26"/>
          <w:szCs w:val="26"/>
        </w:rPr>
        <w:t>Prawne i strategiczne aspekty wykorzystania AI</w:t>
      </w:r>
    </w:p>
    <w:p w:rsidR="00636885" w:rsidRDefault="00000000">
      <w:pPr>
        <w:spacing w:before="10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Drugi dzień szkolenia koncentruje się na otoczeniu regulacyjnym i strategicznym. Uczestnicy poznają ramy wyznaczane przez europejskie prawodawstwo, analizują zagadnienia własności intelektualnej w kontekście AI oraz uczą się identyfikować i minimalizować ryzyka prawne związane z wdrażaniem systemów AI w organizacji.</w:t>
      </w:r>
    </w:p>
    <w:p w:rsidR="00636885" w:rsidRDefault="00000000">
      <w:pPr>
        <w:numPr>
          <w:ilvl w:val="0"/>
          <w:numId w:val="2"/>
        </w:numPr>
        <w:spacing w:before="100"/>
        <w:jc w:val="both"/>
        <w:rPr>
          <w:rFonts w:ascii="Proxima Nova" w:eastAsia="Proxima Nova" w:hAnsi="Proxima Nova" w:cs="Proxima Nova"/>
          <w:sz w:val="19"/>
          <w:szCs w:val="19"/>
        </w:rPr>
      </w:pPr>
      <w:r>
        <w:rPr>
          <w:rFonts w:ascii="Proxima Nova" w:eastAsia="Proxima Nova" w:hAnsi="Proxima Nova" w:cs="Proxima Nova"/>
          <w:b/>
          <w:bCs/>
          <w:sz w:val="19"/>
          <w:szCs w:val="19"/>
        </w:rPr>
        <w:t xml:space="preserve">AI a prawo — wyzwania regulacyjne. </w:t>
      </w:r>
      <w:r>
        <w:rPr>
          <w:rFonts w:ascii="Proxima Nova" w:eastAsia="Proxima Nova" w:hAnsi="Proxima Nova" w:cs="Proxima Nova"/>
          <w:sz w:val="19"/>
          <w:szCs w:val="19"/>
        </w:rPr>
        <w:t>Specyfika sztucznej inteligencji wobec dotychczasowych kategorii prawnych. Kwestionowanie neutralności technologii. AI jako system społeczno-prawny o konsekwencjach wykraczających poza wymiar techniczny.</w:t>
      </w:r>
    </w:p>
    <w:p w:rsidR="00636885" w:rsidRDefault="00000000">
      <w:pPr>
        <w:numPr>
          <w:ilvl w:val="0"/>
          <w:numId w:val="2"/>
        </w:numPr>
        <w:jc w:val="both"/>
        <w:rPr>
          <w:rFonts w:ascii="Proxima Nova" w:eastAsia="Proxima Nova" w:hAnsi="Proxima Nova" w:cs="Proxima Nova"/>
          <w:sz w:val="19"/>
          <w:szCs w:val="19"/>
        </w:rPr>
      </w:pPr>
      <w:r>
        <w:rPr>
          <w:rFonts w:ascii="Proxima Nova" w:eastAsia="Proxima Nova" w:hAnsi="Proxima Nova" w:cs="Proxima Nova"/>
          <w:b/>
          <w:bCs/>
          <w:sz w:val="19"/>
          <w:szCs w:val="19"/>
        </w:rPr>
        <w:t xml:space="preserve">AI </w:t>
      </w:r>
      <w:proofErr w:type="spellStart"/>
      <w:r>
        <w:rPr>
          <w:rFonts w:ascii="Proxima Nova" w:eastAsia="Proxima Nova" w:hAnsi="Proxima Nova" w:cs="Proxima Nova"/>
          <w:b/>
          <w:bCs/>
          <w:sz w:val="19"/>
          <w:szCs w:val="19"/>
        </w:rPr>
        <w:t>Act</w:t>
      </w:r>
      <w:proofErr w:type="spellEnd"/>
      <w:r>
        <w:rPr>
          <w:rFonts w:ascii="Proxima Nova" w:eastAsia="Proxima Nova" w:hAnsi="Proxima Nova" w:cs="Proxima Nova"/>
          <w:b/>
          <w:bCs/>
          <w:sz w:val="19"/>
          <w:szCs w:val="19"/>
        </w:rPr>
        <w:t xml:space="preserve"> i ekosystem regulacyjny UE.</w:t>
      </w:r>
      <w:r>
        <w:rPr>
          <w:rFonts w:ascii="Proxima Nova" w:eastAsia="Proxima Nova" w:hAnsi="Proxima Nova" w:cs="Proxima Nova"/>
          <w:sz w:val="19"/>
          <w:szCs w:val="19"/>
        </w:rPr>
        <w:t xml:space="preserve"> Struktura i logika AI </w:t>
      </w:r>
      <w:proofErr w:type="spellStart"/>
      <w:r>
        <w:rPr>
          <w:rFonts w:ascii="Proxima Nova" w:eastAsia="Proxima Nova" w:hAnsi="Proxima Nova" w:cs="Proxima Nova"/>
          <w:sz w:val="19"/>
          <w:szCs w:val="19"/>
        </w:rPr>
        <w:t>Act</w:t>
      </w:r>
      <w:proofErr w:type="spellEnd"/>
      <w:r>
        <w:rPr>
          <w:rFonts w:ascii="Proxima Nova" w:eastAsia="Proxima Nova" w:hAnsi="Proxima Nova" w:cs="Proxima Nova"/>
          <w:sz w:val="19"/>
          <w:szCs w:val="19"/>
        </w:rPr>
        <w:t xml:space="preserve">: klasyfikacja systemów według poziomu ryzyka. Obowiązki dla administracji publicznej, instytucji naukowych i przedsiębiorców. Relacje z RODO, Digital Services </w:t>
      </w:r>
      <w:proofErr w:type="spellStart"/>
      <w:r>
        <w:rPr>
          <w:rFonts w:ascii="Proxima Nova" w:eastAsia="Proxima Nova" w:hAnsi="Proxima Nova" w:cs="Proxima Nova"/>
          <w:sz w:val="19"/>
          <w:szCs w:val="19"/>
        </w:rPr>
        <w:t>Act</w:t>
      </w:r>
      <w:proofErr w:type="spellEnd"/>
      <w:r>
        <w:rPr>
          <w:rFonts w:ascii="Proxima Nova" w:eastAsia="Proxima Nova" w:hAnsi="Proxima Nova" w:cs="Proxima Nova"/>
          <w:sz w:val="19"/>
          <w:szCs w:val="19"/>
        </w:rPr>
        <w:t>, prawem konsumenckim i zamówieniami publicznymi.</w:t>
      </w:r>
    </w:p>
    <w:p w:rsidR="00636885" w:rsidRDefault="00000000">
      <w:pPr>
        <w:numPr>
          <w:ilvl w:val="0"/>
          <w:numId w:val="2"/>
        </w:numPr>
        <w:jc w:val="both"/>
        <w:rPr>
          <w:rFonts w:ascii="Proxima Nova" w:eastAsia="Proxima Nova" w:hAnsi="Proxima Nova" w:cs="Proxima Nova"/>
          <w:sz w:val="19"/>
          <w:szCs w:val="19"/>
        </w:rPr>
      </w:pPr>
      <w:r>
        <w:rPr>
          <w:rFonts w:ascii="Proxima Nova" w:eastAsia="Proxima Nova" w:hAnsi="Proxima Nova" w:cs="Proxima Nova"/>
          <w:b/>
          <w:bCs/>
          <w:sz w:val="19"/>
          <w:szCs w:val="19"/>
        </w:rPr>
        <w:t xml:space="preserve">Dane i AI — kontrola zasobów i odpowiedzialność. </w:t>
      </w:r>
      <w:r>
        <w:rPr>
          <w:rFonts w:ascii="Proxima Nova" w:eastAsia="Proxima Nova" w:hAnsi="Proxima Nova" w:cs="Proxima Nova"/>
          <w:sz w:val="19"/>
          <w:szCs w:val="19"/>
        </w:rPr>
        <w:t>Klasyfikacja danych (osobowe, nieosobowe, syntetyczne). Legalność trenowania modeli i zarządzanie łańcuchem danych.</w:t>
      </w:r>
    </w:p>
    <w:p w:rsidR="00636885" w:rsidRDefault="00000000">
      <w:pPr>
        <w:numPr>
          <w:ilvl w:val="0"/>
          <w:numId w:val="2"/>
        </w:numPr>
        <w:jc w:val="both"/>
        <w:rPr>
          <w:rFonts w:ascii="Proxima Nova" w:eastAsia="Proxima Nova" w:hAnsi="Proxima Nova" w:cs="Proxima Nova"/>
          <w:sz w:val="19"/>
          <w:szCs w:val="19"/>
        </w:rPr>
      </w:pPr>
      <w:r>
        <w:rPr>
          <w:rFonts w:ascii="Proxima Nova" w:eastAsia="Proxima Nova" w:hAnsi="Proxima Nova" w:cs="Proxima Nova"/>
          <w:b/>
          <w:bCs/>
          <w:sz w:val="19"/>
          <w:szCs w:val="19"/>
        </w:rPr>
        <w:t>Własność intelektualna w erze AI.</w:t>
      </w:r>
      <w:r>
        <w:rPr>
          <w:rFonts w:ascii="Proxima Nova" w:eastAsia="Proxima Nova" w:hAnsi="Proxima Nova" w:cs="Proxima Nova"/>
          <w:sz w:val="19"/>
          <w:szCs w:val="19"/>
        </w:rPr>
        <w:t xml:space="preserve"> Status prawny treści generowanych przez AI. Kwestia autorstwa i ochrony </w:t>
      </w:r>
      <w:proofErr w:type="spellStart"/>
      <w:r>
        <w:rPr>
          <w:rFonts w:ascii="Proxima Nova" w:eastAsia="Proxima Nova" w:hAnsi="Proxima Nova" w:cs="Proxima Nova"/>
          <w:sz w:val="19"/>
          <w:szCs w:val="19"/>
        </w:rPr>
        <w:t>prawnoautorskiej</w:t>
      </w:r>
      <w:proofErr w:type="spellEnd"/>
      <w:r>
        <w:rPr>
          <w:rFonts w:ascii="Proxima Nova" w:eastAsia="Proxima Nova" w:hAnsi="Proxima Nova" w:cs="Proxima Nova"/>
          <w:sz w:val="19"/>
          <w:szCs w:val="19"/>
        </w:rPr>
        <w:t xml:space="preserve">. Licencjonowanie modeli i </w:t>
      </w:r>
      <w:proofErr w:type="spellStart"/>
      <w:r>
        <w:rPr>
          <w:rFonts w:ascii="Proxima Nova" w:eastAsia="Proxima Nova" w:hAnsi="Proxima Nova" w:cs="Proxima Nova"/>
          <w:sz w:val="19"/>
          <w:szCs w:val="19"/>
        </w:rPr>
        <w:t>promptów</w:t>
      </w:r>
      <w:proofErr w:type="spellEnd"/>
      <w:r>
        <w:rPr>
          <w:rFonts w:ascii="Proxima Nova" w:eastAsia="Proxima Nova" w:hAnsi="Proxima Nova" w:cs="Proxima Nova"/>
          <w:sz w:val="19"/>
          <w:szCs w:val="19"/>
        </w:rPr>
        <w:t>. Aktualne spory sądowe w kontekście modeli generatywnych.</w:t>
      </w:r>
    </w:p>
    <w:p w:rsidR="00636885" w:rsidRDefault="00000000">
      <w:pPr>
        <w:numPr>
          <w:ilvl w:val="0"/>
          <w:numId w:val="2"/>
        </w:numPr>
        <w:jc w:val="both"/>
        <w:rPr>
          <w:rFonts w:ascii="Proxima Nova" w:eastAsia="Proxima Nova" w:hAnsi="Proxima Nova" w:cs="Proxima Nova"/>
          <w:sz w:val="19"/>
          <w:szCs w:val="19"/>
        </w:rPr>
      </w:pPr>
      <w:r>
        <w:rPr>
          <w:rFonts w:ascii="Proxima Nova" w:eastAsia="Proxima Nova" w:hAnsi="Proxima Nova" w:cs="Proxima Nova"/>
          <w:b/>
          <w:bCs/>
          <w:sz w:val="19"/>
          <w:szCs w:val="19"/>
        </w:rPr>
        <w:t xml:space="preserve">Odpowiedzialność prawna i zarządzanie ryzykiem. </w:t>
      </w:r>
      <w:r>
        <w:rPr>
          <w:rFonts w:ascii="Proxima Nova" w:eastAsia="Proxima Nova" w:hAnsi="Proxima Nova" w:cs="Proxima Nova"/>
          <w:sz w:val="19"/>
          <w:szCs w:val="19"/>
        </w:rPr>
        <w:t>Podział odpowiedzialności między twórcę, użytkownika i instytucję wdrażającą. Odpowiedzialność cywilna i administracyjna. Ryzyko dyskryminacji algorytmicznej w decyzjach publicznych. Nadzór ludzki nad systemami AI — rzeczywiste mechanizmy kontroli.</w:t>
      </w:r>
    </w:p>
    <w:p w:rsidR="00636885" w:rsidRDefault="00000000">
      <w:pPr>
        <w:numPr>
          <w:ilvl w:val="0"/>
          <w:numId w:val="2"/>
        </w:numPr>
        <w:jc w:val="both"/>
        <w:rPr>
          <w:rFonts w:ascii="Proxima Nova" w:eastAsia="Proxima Nova" w:hAnsi="Proxima Nova" w:cs="Proxima Nova"/>
          <w:sz w:val="19"/>
          <w:szCs w:val="19"/>
        </w:rPr>
      </w:pPr>
      <w:r>
        <w:rPr>
          <w:rFonts w:ascii="Proxima Nova" w:eastAsia="Proxima Nova" w:hAnsi="Proxima Nova" w:cs="Proxima Nova"/>
          <w:b/>
          <w:bCs/>
          <w:sz w:val="19"/>
          <w:szCs w:val="19"/>
        </w:rPr>
        <w:t>Warsztaty: studium przypadków.</w:t>
      </w:r>
      <w:r>
        <w:rPr>
          <w:rFonts w:ascii="Proxima Nova" w:eastAsia="Proxima Nova" w:hAnsi="Proxima Nova" w:cs="Proxima Nova"/>
          <w:sz w:val="19"/>
          <w:szCs w:val="19"/>
        </w:rPr>
        <w:t xml:space="preserve"> Praca nad scenariuszami ryzyka prawnego wywodzącymi się z działalności organizacji. Identyfikacja obszarów zastosowania AI obciążonych ryzykiem regulacyjnym, ocena zgodności z wymogami AI </w:t>
      </w:r>
      <w:proofErr w:type="spellStart"/>
      <w:r>
        <w:rPr>
          <w:rFonts w:ascii="Proxima Nova" w:eastAsia="Proxima Nova" w:hAnsi="Proxima Nova" w:cs="Proxima Nova"/>
          <w:sz w:val="19"/>
          <w:szCs w:val="19"/>
        </w:rPr>
        <w:t>Act</w:t>
      </w:r>
      <w:proofErr w:type="spellEnd"/>
      <w:r>
        <w:rPr>
          <w:rFonts w:ascii="Proxima Nova" w:eastAsia="Proxima Nova" w:hAnsi="Proxima Nova" w:cs="Proxima Nova"/>
          <w:sz w:val="19"/>
          <w:szCs w:val="19"/>
        </w:rPr>
        <w:t xml:space="preserve"> i powiązanych regulacji, projektowanie procedur wdrożeniowych i mechanizmów nadzoru. Efektem warsztatu są gotowe ramy postępowania możliwe do zastosowania bezpośrednio po szkoleniu. </w:t>
      </w:r>
    </w:p>
    <w:p w:rsidR="00636885" w:rsidRDefault="00000000">
      <w:pPr>
        <w:spacing w:before="360" w:after="200"/>
        <w:jc w:val="both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  <w:color w:val="1B4F72"/>
          <w:sz w:val="24"/>
          <w:szCs w:val="24"/>
        </w:rPr>
        <w:t>PROWADZĄCE</w:t>
      </w:r>
    </w:p>
    <w:p w:rsidR="00636885" w:rsidRDefault="00000000">
      <w:pPr>
        <w:spacing w:after="4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color w:val="1B4F72"/>
          <w:sz w:val="26"/>
          <w:szCs w:val="26"/>
        </w:rPr>
        <w:t>dr Monika Szkarłat</w:t>
      </w:r>
    </w:p>
    <w:p w:rsidR="00636885" w:rsidRDefault="00000000">
      <w:pPr>
        <w:pBdr>
          <w:bottom w:val="single" w:sz="4" w:space="4" w:color="2E86C1"/>
        </w:pBdr>
        <w:spacing w:after="12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i/>
          <w:iCs/>
          <w:color w:val="5D6D7E"/>
          <w:sz w:val="18"/>
          <w:szCs w:val="18"/>
        </w:rPr>
        <w:t>Instytut Nauk o Polityce i Administracji UMCS | Centrum Sztucznej Inteligencji i Modelowania Komputerowego UMCS</w:t>
      </w:r>
    </w:p>
    <w:p w:rsidR="00636885" w:rsidRDefault="00000000">
      <w:pPr>
        <w:spacing w:before="80" w:after="8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color w:val="1C2833"/>
        </w:rPr>
        <w:t xml:space="preserve">Politolożka i specjalistka w dziedzinie prawa własności intelektualnej, nowych technologii i regulacji europejskich. Pracuje w Katedrze Administracji Publicznej w Instytucie Nauk o Polityce i Administracji UMCS. Absolwentka studiów podyplomowych z prawa własności intelektualnej na </w:t>
      </w:r>
      <w:r>
        <w:rPr>
          <w:rFonts w:ascii="Proxima Nova" w:eastAsia="Proxima Nova" w:hAnsi="Proxima Nova" w:cs="Proxima Nova"/>
          <w:color w:val="1C2833"/>
        </w:rPr>
        <w:lastRenderedPageBreak/>
        <w:t>Uniwersytecie Jagiellońskim. Członkini Zespołu ds. wymiaru społecznego i prawnego sztucznej inteligencji w Centrum Sztucznej Inteligencji i Modelowania Komputerowego UMCS.</w:t>
      </w:r>
    </w:p>
    <w:p w:rsidR="00636885" w:rsidRDefault="00000000">
      <w:pPr>
        <w:spacing w:before="80" w:after="8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color w:val="1C2833"/>
        </w:rPr>
        <w:t xml:space="preserve">Prowadzi zajęcia akademickie z ochrony własności intelektualnej, ochrony własności intelektualnej w cyberprzestrzeni oraz prawa i instytucji UE. Członkini Prezydium Komitetu Badań Polarnych PAN, przewodnicząca grupy roboczej </w:t>
      </w:r>
      <w:proofErr w:type="spellStart"/>
      <w:r>
        <w:rPr>
          <w:rFonts w:ascii="Proxima Nova" w:eastAsia="Proxima Nova" w:hAnsi="Proxima Nova" w:cs="Proxima Nova"/>
          <w:color w:val="1C2833"/>
        </w:rPr>
        <w:t>Social</w:t>
      </w:r>
      <w:proofErr w:type="spellEnd"/>
      <w:r>
        <w:rPr>
          <w:rFonts w:ascii="Proxima Nova" w:eastAsia="Proxima Nova" w:hAnsi="Proxima Nova" w:cs="Proxima Nova"/>
          <w:color w:val="1C2833"/>
        </w:rPr>
        <w:t xml:space="preserve"> &amp; Human </w:t>
      </w:r>
      <w:proofErr w:type="spellStart"/>
      <w:r>
        <w:rPr>
          <w:rFonts w:ascii="Proxima Nova" w:eastAsia="Proxima Nova" w:hAnsi="Proxima Nova" w:cs="Proxima Nova"/>
          <w:color w:val="1C2833"/>
        </w:rPr>
        <w:t>Working</w:t>
      </w:r>
      <w:proofErr w:type="spellEnd"/>
      <w:r>
        <w:rPr>
          <w:rFonts w:ascii="Proxima Nova" w:eastAsia="Proxima Nova" w:hAnsi="Proxima Nova" w:cs="Proxima Nova"/>
          <w:color w:val="1C2833"/>
        </w:rPr>
        <w:t xml:space="preserve"> </w:t>
      </w:r>
      <w:proofErr w:type="spellStart"/>
      <w:r>
        <w:rPr>
          <w:rFonts w:ascii="Proxima Nova" w:eastAsia="Proxima Nova" w:hAnsi="Proxima Nova" w:cs="Proxima Nova"/>
          <w:color w:val="1C2833"/>
        </w:rPr>
        <w:t>Group</w:t>
      </w:r>
      <w:proofErr w:type="spellEnd"/>
      <w:r>
        <w:rPr>
          <w:rFonts w:ascii="Proxima Nova" w:eastAsia="Proxima Nova" w:hAnsi="Proxima Nova" w:cs="Proxima Nova"/>
          <w:color w:val="1C2833"/>
        </w:rPr>
        <w:t xml:space="preserve"> w International </w:t>
      </w:r>
      <w:proofErr w:type="spellStart"/>
      <w:r>
        <w:rPr>
          <w:rFonts w:ascii="Proxima Nova" w:eastAsia="Proxima Nova" w:hAnsi="Proxima Nova" w:cs="Proxima Nova"/>
          <w:color w:val="1C2833"/>
        </w:rPr>
        <w:t>Arctic</w:t>
      </w:r>
      <w:proofErr w:type="spellEnd"/>
      <w:r>
        <w:rPr>
          <w:rFonts w:ascii="Proxima Nova" w:eastAsia="Proxima Nova" w:hAnsi="Proxima Nova" w:cs="Proxima Nova"/>
          <w:color w:val="1C2833"/>
        </w:rPr>
        <w:t xml:space="preserve"> Science </w:t>
      </w:r>
      <w:proofErr w:type="spellStart"/>
      <w:r>
        <w:rPr>
          <w:rFonts w:ascii="Proxima Nova" w:eastAsia="Proxima Nova" w:hAnsi="Proxima Nova" w:cs="Proxima Nova"/>
          <w:color w:val="1C2833"/>
        </w:rPr>
        <w:t>Committee</w:t>
      </w:r>
      <w:proofErr w:type="spellEnd"/>
      <w:r>
        <w:rPr>
          <w:rFonts w:ascii="Proxima Nova" w:eastAsia="Proxima Nova" w:hAnsi="Proxima Nova" w:cs="Proxima Nova"/>
          <w:color w:val="1C2833"/>
        </w:rPr>
        <w:t xml:space="preserve"> (IASC) oraz członkini Komitetu Zarządzającego międzynarodowego projektu COST Action „Science in </w:t>
      </w:r>
      <w:proofErr w:type="spellStart"/>
      <w:r>
        <w:rPr>
          <w:rFonts w:ascii="Proxima Nova" w:eastAsia="Proxima Nova" w:hAnsi="Proxima Nova" w:cs="Proxima Nova"/>
          <w:color w:val="1C2833"/>
        </w:rPr>
        <w:t>Diplomacy</w:t>
      </w:r>
      <w:proofErr w:type="spellEnd"/>
      <w:r>
        <w:rPr>
          <w:rFonts w:ascii="Proxima Nova" w:eastAsia="Proxima Nova" w:hAnsi="Proxima Nova" w:cs="Proxima Nova"/>
          <w:color w:val="1C2833"/>
        </w:rPr>
        <w:t xml:space="preserve"> Network” (</w:t>
      </w:r>
      <w:proofErr w:type="spellStart"/>
      <w:r>
        <w:rPr>
          <w:rFonts w:ascii="Proxima Nova" w:eastAsia="Proxima Nova" w:hAnsi="Proxima Nova" w:cs="Proxima Nova"/>
          <w:color w:val="1C2833"/>
        </w:rPr>
        <w:t>SiDnet</w:t>
      </w:r>
      <w:proofErr w:type="spellEnd"/>
      <w:r>
        <w:rPr>
          <w:rFonts w:ascii="Proxima Nova" w:eastAsia="Proxima Nova" w:hAnsi="Proxima Nova" w:cs="Proxima Nova"/>
          <w:color w:val="1C2833"/>
        </w:rPr>
        <w:t>, 2025–2029). Kierowniczka projektu finansowanego przez NCN w ramach polsko-norweskiej inicjatywy badawczej.</w:t>
      </w:r>
    </w:p>
    <w:p w:rsidR="00636885" w:rsidRDefault="00636885">
      <w:pPr>
        <w:spacing w:after="40"/>
        <w:jc w:val="both"/>
        <w:rPr>
          <w:rFonts w:ascii="Proxima Nova" w:eastAsia="Proxima Nova" w:hAnsi="Proxima Nova" w:cs="Proxima Nova"/>
          <w:color w:val="1B4F72"/>
          <w:sz w:val="26"/>
          <w:szCs w:val="26"/>
        </w:rPr>
      </w:pPr>
    </w:p>
    <w:p w:rsidR="00636885" w:rsidRDefault="00000000">
      <w:pPr>
        <w:spacing w:after="4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color w:val="1B4F72"/>
          <w:sz w:val="26"/>
          <w:szCs w:val="26"/>
        </w:rPr>
        <w:t>dr Marlena Gołębiowska</w:t>
      </w:r>
    </w:p>
    <w:p w:rsidR="00636885" w:rsidRDefault="00000000">
      <w:pPr>
        <w:pBdr>
          <w:bottom w:val="single" w:sz="4" w:space="4" w:color="2E86C1"/>
        </w:pBdr>
        <w:spacing w:after="12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i/>
          <w:iCs/>
          <w:color w:val="5D6D7E"/>
          <w:sz w:val="18"/>
          <w:szCs w:val="18"/>
        </w:rPr>
        <w:t>Instytut Ekonomii i Finansów UMCS | Centrum Kompetencji Europejskich UMCS</w:t>
      </w:r>
    </w:p>
    <w:p w:rsidR="00636885" w:rsidRDefault="00000000">
      <w:pPr>
        <w:spacing w:before="80" w:after="8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color w:val="1C2833"/>
        </w:rPr>
        <w:t xml:space="preserve">Ekonomistka i badaczka specjalizująca się w cyfryzacji, sztucznej inteligencji i innowacjach. Pracuje w Katedrze Mikroekonomii i Ekonomii Stosowanej na Wydziale Ekonomicznym UMCS oraz jako analityczka w Instytucie Europy Środkowej (IEŚ). Absolwentka programu podyplomowego Biznes.AI: Zarządzenie projektami sztucznej inteligencji na Akademii Leona Koźmińskiego. Autorka publikacji o AI w Europie Środkowej i współautorka podręczników z zakresu wdrażania innowacji metodą design </w:t>
      </w:r>
      <w:proofErr w:type="spellStart"/>
      <w:r>
        <w:rPr>
          <w:rFonts w:ascii="Proxima Nova" w:eastAsia="Proxima Nova" w:hAnsi="Proxima Nova" w:cs="Proxima Nova"/>
          <w:color w:val="1C2833"/>
        </w:rPr>
        <w:t>thinking</w:t>
      </w:r>
      <w:proofErr w:type="spellEnd"/>
      <w:r>
        <w:rPr>
          <w:rFonts w:ascii="Proxima Nova" w:eastAsia="Proxima Nova" w:hAnsi="Proxima Nova" w:cs="Proxima Nova"/>
          <w:color w:val="1C2833"/>
        </w:rPr>
        <w:t>. Członkini Centrum Kompetencji Europejskich UMCS.</w:t>
      </w:r>
    </w:p>
    <w:p w:rsidR="00636885" w:rsidRDefault="00000000">
      <w:pPr>
        <w:spacing w:before="80" w:after="8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color w:val="1C2833"/>
        </w:rPr>
        <w:t xml:space="preserve">Wykłada przedmioty obejmujące sztuczną inteligencję, </w:t>
      </w:r>
      <w:proofErr w:type="spellStart"/>
      <w:r>
        <w:rPr>
          <w:rFonts w:ascii="Proxima Nova" w:eastAsia="Proxima Nova" w:hAnsi="Proxima Nova" w:cs="Proxima Nova"/>
          <w:color w:val="1C2833"/>
        </w:rPr>
        <w:t>cyberbezpieczeństwo</w:t>
      </w:r>
      <w:proofErr w:type="spellEnd"/>
      <w:r>
        <w:rPr>
          <w:rFonts w:ascii="Proxima Nova" w:eastAsia="Proxima Nova" w:hAnsi="Proxima Nova" w:cs="Proxima Nova"/>
          <w:color w:val="1C2833"/>
        </w:rPr>
        <w:t xml:space="preserve">, ekonomię informacji, stosując przy tym podejście projektowe i metodę design </w:t>
      </w:r>
      <w:proofErr w:type="spellStart"/>
      <w:r>
        <w:rPr>
          <w:rFonts w:ascii="Proxima Nova" w:eastAsia="Proxima Nova" w:hAnsi="Proxima Nova" w:cs="Proxima Nova"/>
          <w:color w:val="1C2833"/>
        </w:rPr>
        <w:t>thinking</w:t>
      </w:r>
      <w:proofErr w:type="spellEnd"/>
      <w:r>
        <w:rPr>
          <w:rFonts w:ascii="Proxima Nova" w:eastAsia="Proxima Nova" w:hAnsi="Proxima Nova" w:cs="Proxima Nova"/>
          <w:color w:val="1C2833"/>
        </w:rPr>
        <w:t>. Posiada bogate doświadczenie w zakresie prowadzenia szkoleń z praktycznych zastosowań AI dla różnych sektorów, w tym administracji publicznej, organizacji pozarządowych i sektora kreatywnego.</w:t>
      </w:r>
    </w:p>
    <w:p w:rsidR="00636885" w:rsidRDefault="00000000">
      <w:pPr>
        <w:spacing w:before="360" w:after="200"/>
        <w:jc w:val="both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  <w:color w:val="1B4F72"/>
          <w:sz w:val="24"/>
          <w:szCs w:val="24"/>
        </w:rPr>
        <w:t>WARUNKI REALIZACJI</w:t>
      </w:r>
    </w:p>
    <w:tbl>
      <w:tblPr>
        <w:tblStyle w:val="a0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3"/>
        <w:gridCol w:w="4513"/>
      </w:tblGrid>
      <w:tr w:rsidR="00636885"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  <w:shd w:val="clear" w:color="auto" w:fill="1B4F72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636885" w:rsidRDefault="00000000">
            <w:p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color w:val="FFFFFF"/>
                <w:sz w:val="22"/>
                <w:szCs w:val="22"/>
              </w:rPr>
              <w:t xml:space="preserve">Szkolenie 2-dniowe </w:t>
            </w:r>
          </w:p>
          <w:p w:rsidR="00636885" w:rsidRDefault="00000000">
            <w:pPr>
              <w:spacing w:before="80"/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color w:val="D4E6F1"/>
                <w:sz w:val="20"/>
                <w:szCs w:val="20"/>
              </w:rPr>
              <w:t>(2 × 8 godzin)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  <w:shd w:val="clear" w:color="auto" w:fill="2E86C1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6D0634" w:rsidRDefault="006D0634" w:rsidP="006D0634">
            <w:pPr>
              <w:spacing w:before="80" w:after="80"/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color w:val="1C2833"/>
              </w:rPr>
              <w:t>Cena obejmuje przygotowanie i realizację szkolenia, materiały dla uczestników oraz certyfikaty ukończenia. Istnieje możliwość dostosowania wymiaru godzin i programu do specyficznych potrzeb zamawiającego.</w:t>
            </w:r>
          </w:p>
          <w:p w:rsidR="00636885" w:rsidRDefault="00636885">
            <w:pPr>
              <w:spacing w:before="120"/>
              <w:jc w:val="both"/>
              <w:rPr>
                <w:rFonts w:ascii="Proxima Nova" w:eastAsia="Proxima Nova" w:hAnsi="Proxima Nova" w:cs="Proxima Nova"/>
              </w:rPr>
            </w:pPr>
          </w:p>
        </w:tc>
      </w:tr>
    </w:tbl>
    <w:p w:rsidR="00636885" w:rsidRDefault="00000000">
      <w:pPr>
        <w:spacing w:before="360" w:after="200"/>
        <w:jc w:val="both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  <w:color w:val="1B4F72"/>
          <w:sz w:val="24"/>
          <w:szCs w:val="24"/>
        </w:rPr>
        <w:t>KONTAKT</w:t>
      </w:r>
    </w:p>
    <w:p w:rsidR="00636885" w:rsidRDefault="00000000">
      <w:pPr>
        <w:spacing w:before="80" w:after="80"/>
        <w:jc w:val="both"/>
        <w:rPr>
          <w:rFonts w:ascii="Proxima Nova" w:eastAsia="Proxima Nova" w:hAnsi="Proxima Nova" w:cs="Proxima Nova"/>
          <w:color w:val="1C2833"/>
        </w:rPr>
      </w:pPr>
      <w:r>
        <w:rPr>
          <w:rFonts w:ascii="Proxima Nova" w:eastAsia="Proxima Nova" w:hAnsi="Proxima Nova" w:cs="Proxima Nova"/>
          <w:color w:val="1C2833"/>
        </w:rPr>
        <w:t xml:space="preserve">dr Monika </w:t>
      </w:r>
      <w:proofErr w:type="gramStart"/>
      <w:r>
        <w:rPr>
          <w:rFonts w:ascii="Proxima Nova" w:eastAsia="Proxima Nova" w:hAnsi="Proxima Nova" w:cs="Proxima Nova"/>
          <w:color w:val="1C2833"/>
        </w:rPr>
        <w:t>Szkarłat  |</w:t>
      </w:r>
      <w:proofErr w:type="gramEnd"/>
      <w:r>
        <w:rPr>
          <w:rFonts w:ascii="Proxima Nova" w:eastAsia="Proxima Nova" w:hAnsi="Proxima Nova" w:cs="Proxima Nova"/>
          <w:color w:val="1C2833"/>
        </w:rPr>
        <w:t xml:space="preserve">  monika.szkarlat@umcs.pl</w:t>
      </w:r>
    </w:p>
    <w:p w:rsidR="00636885" w:rsidRDefault="00000000">
      <w:pPr>
        <w:spacing w:before="80" w:after="8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color w:val="1C2833"/>
        </w:rPr>
        <w:t xml:space="preserve">dr Marlena </w:t>
      </w:r>
      <w:proofErr w:type="gramStart"/>
      <w:r>
        <w:rPr>
          <w:rFonts w:ascii="Proxima Nova" w:eastAsia="Proxima Nova" w:hAnsi="Proxima Nova" w:cs="Proxima Nova"/>
          <w:color w:val="1C2833"/>
        </w:rPr>
        <w:t>Gołębiowska  |</w:t>
      </w:r>
      <w:proofErr w:type="gramEnd"/>
      <w:r>
        <w:rPr>
          <w:rFonts w:ascii="Proxima Nova" w:eastAsia="Proxima Nova" w:hAnsi="Proxima Nova" w:cs="Proxima Nova"/>
          <w:color w:val="1C2833"/>
        </w:rPr>
        <w:t xml:space="preserve">  marlena.golebiowska@umcs.pl</w:t>
      </w:r>
    </w:p>
    <w:p w:rsidR="00636885" w:rsidRDefault="00000000">
      <w:pPr>
        <w:spacing w:before="80" w:after="80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color w:val="1B4F72"/>
        </w:rPr>
        <w:t>Centrum Sztucznej Inteligencji i Modelowania Komputerowego UMCS</w:t>
      </w:r>
    </w:p>
    <w:p w:rsidR="00636885" w:rsidRDefault="00000000">
      <w:pPr>
        <w:spacing w:before="80" w:after="80"/>
        <w:jc w:val="both"/>
        <w:rPr>
          <w:rFonts w:ascii="Proxima Nova" w:eastAsia="Proxima Nova" w:hAnsi="Proxima Nova" w:cs="Proxima Nova"/>
          <w:color w:val="2E86C1"/>
        </w:rPr>
      </w:pPr>
      <w:r>
        <w:rPr>
          <w:rFonts w:ascii="Proxima Nova" w:eastAsia="Proxima Nova" w:hAnsi="Proxima Nova" w:cs="Proxima Nova"/>
          <w:color w:val="2E86C1"/>
        </w:rPr>
        <w:t>analytics.umcs.pl</w:t>
      </w:r>
    </w:p>
    <w:p w:rsidR="00636885" w:rsidRDefault="00636885">
      <w:pPr>
        <w:spacing w:before="80" w:after="80"/>
        <w:jc w:val="both"/>
        <w:rPr>
          <w:rFonts w:ascii="Proxima Nova" w:eastAsia="Proxima Nova" w:hAnsi="Proxima Nova" w:cs="Proxima Nova"/>
          <w:color w:val="2E86C1"/>
        </w:rPr>
      </w:pPr>
    </w:p>
    <w:sectPr w:rsidR="0063688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46DED" w:rsidRDefault="00946DED">
      <w:r>
        <w:separator/>
      </w:r>
    </w:p>
  </w:endnote>
  <w:endnote w:type="continuationSeparator" w:id="0">
    <w:p w:rsidR="00946DED" w:rsidRDefault="0094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7E6BE0-7B93-764C-824D-89C62731A6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A4F5594-3081-3243-A45A-BA22B1C55167}"/>
    <w:embedItalic r:id="rId3" w:fontKey="{CAD3667B-6B51-184A-83D6-8A502E9B23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D22722C-7B8D-1F4E-867D-8599F855BCEF}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5" w:fontKey="{5012D6D0-3A6E-784A-A1B4-ADCBD7C9689E}"/>
    <w:embedBold r:id="rId6" w:fontKey="{F7236992-8CFE-A344-B039-5868D7F23304}"/>
    <w:embedItalic r:id="rId7" w:fontKey="{ADCE23FB-6CFF-3740-A12A-A35E151104C0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27450648-AEC4-4B43-BFD0-63CF1FEE61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7D261A6-8F0F-8340-83A6-1C7AF8E199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6885" w:rsidRDefault="00000000">
    <w:pPr>
      <w:pBdr>
        <w:top w:val="single" w:sz="4" w:space="4" w:color="D4E6F1"/>
      </w:pBdr>
      <w:tabs>
        <w:tab w:val="right" w:pos="9026"/>
      </w:tabs>
    </w:pPr>
    <w:proofErr w:type="spellStart"/>
    <w:proofErr w:type="gramStart"/>
    <w:r>
      <w:rPr>
        <w:i/>
        <w:iCs/>
        <w:color w:val="5D6D7E"/>
        <w:sz w:val="16"/>
        <w:szCs w:val="16"/>
      </w:rPr>
      <w:t>analytics.umcs</w:t>
    </w:r>
    <w:proofErr w:type="gramEnd"/>
    <w:r>
      <w:rPr>
        <w:i/>
        <w:iCs/>
        <w:color w:val="5D6D7E"/>
        <w:sz w:val="16"/>
        <w:szCs w:val="16"/>
      </w:rPr>
      <w:t>.pl</w:t>
    </w:r>
    <w:r>
      <w:rPr>
        <w:color w:val="5D6D7E"/>
        <w:sz w:val="16"/>
        <w:szCs w:val="16"/>
      </w:rPr>
      <w:t>Strona</w:t>
    </w:r>
    <w:proofErr w:type="spellEnd"/>
    <w:r>
      <w:rPr>
        <w:color w:val="5D6D7E"/>
        <w:sz w:val="16"/>
        <w:szCs w:val="16"/>
      </w:rPr>
      <w:t xml:space="preserve"> </w:t>
    </w:r>
    <w:r>
      <w:rPr>
        <w:color w:val="5D6D7E"/>
        <w:sz w:val="16"/>
        <w:szCs w:val="16"/>
      </w:rPr>
      <w:fldChar w:fldCharType="begin"/>
    </w:r>
    <w:r>
      <w:rPr>
        <w:color w:val="5D6D7E"/>
        <w:sz w:val="16"/>
        <w:szCs w:val="16"/>
      </w:rPr>
      <w:instrText>PAGE</w:instrText>
    </w:r>
    <w:r>
      <w:rPr>
        <w:color w:val="5D6D7E"/>
        <w:sz w:val="16"/>
        <w:szCs w:val="16"/>
      </w:rPr>
      <w:fldChar w:fldCharType="separate"/>
    </w:r>
    <w:r w:rsidR="00132579">
      <w:rPr>
        <w:noProof/>
        <w:color w:val="5D6D7E"/>
        <w:sz w:val="16"/>
        <w:szCs w:val="16"/>
      </w:rPr>
      <w:t>1</w:t>
    </w:r>
    <w:r>
      <w:rPr>
        <w:color w:val="5D6D7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46DED" w:rsidRDefault="00946DED">
      <w:r>
        <w:separator/>
      </w:r>
    </w:p>
  </w:footnote>
  <w:footnote w:type="continuationSeparator" w:id="0">
    <w:p w:rsidR="00946DED" w:rsidRDefault="00946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6885" w:rsidRDefault="00000000">
    <w:pPr>
      <w:pBdr>
        <w:bottom w:val="single" w:sz="4" w:space="4" w:color="D4E6F1"/>
      </w:pBdr>
      <w:spacing w:after="60"/>
    </w:pPr>
    <w:r>
      <w:rPr>
        <w:i/>
        <w:iCs/>
        <w:color w:val="5D6D7E"/>
        <w:sz w:val="16"/>
        <w:szCs w:val="16"/>
      </w:rPr>
      <w:t>Centrum Sztucznej Inteligencji i Modelowania Komputerowego UMCS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31826"/>
    <w:multiLevelType w:val="multilevel"/>
    <w:tmpl w:val="3CA60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E3593F"/>
    <w:multiLevelType w:val="multilevel"/>
    <w:tmpl w:val="0F684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2600CB"/>
    <w:multiLevelType w:val="multilevel"/>
    <w:tmpl w:val="2F8460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1256499">
    <w:abstractNumId w:val="0"/>
  </w:num>
  <w:num w:numId="2" w16cid:durableId="754668614">
    <w:abstractNumId w:val="2"/>
  </w:num>
  <w:num w:numId="3" w16cid:durableId="1692415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885"/>
    <w:rsid w:val="000F5971"/>
    <w:rsid w:val="00132579"/>
    <w:rsid w:val="00636885"/>
    <w:rsid w:val="006D0634"/>
    <w:rsid w:val="0094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4FF42E"/>
  <w15:docId w15:val="{BB77A0E0-A3CA-5748-813A-705AC9274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1092</Words>
  <Characters>7234</Characters>
  <Application>Microsoft Office Word</Application>
  <DocSecurity>0</DocSecurity>
  <Lines>107</Lines>
  <Paragraphs>19</Paragraphs>
  <ScaleCrop>false</ScaleCrop>
  <Company/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Szkarłat Monika</cp:lastModifiedBy>
  <cp:revision>2</cp:revision>
  <dcterms:created xsi:type="dcterms:W3CDTF">2026-04-20T08:47:00Z</dcterms:created>
  <dcterms:modified xsi:type="dcterms:W3CDTF">2026-04-20T08:47:00Z</dcterms:modified>
</cp:coreProperties>
</file>